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E5789" w:rsidRDefault="00CD4473">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4E5789" w:rsidRDefault="00CD4473">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will be used as the basis for the charges (and are maximums that the Supplier may charge for a Standard Service Requirement) under each Call Off Contract including;</w:t>
      </w:r>
    </w:p>
    <w:p w14:paraId="00000005"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Standard Service rate per Unit of Measure</w:t>
      </w:r>
    </w:p>
    <w:p w14:paraId="00000006"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Corporate Overhead;</w:t>
      </w:r>
    </w:p>
    <w:p w14:paraId="00000007"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Management Overhead;</w:t>
      </w:r>
    </w:p>
    <w:p w14:paraId="00000008"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Supplier Profit;</w:t>
      </w:r>
    </w:p>
    <w:p w14:paraId="00000009"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London location percentage variance; </w:t>
      </w:r>
    </w:p>
    <w:p w14:paraId="0000000A"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Billable works management uplifts; and </w:t>
      </w:r>
    </w:p>
    <w:p w14:paraId="0000000B" w14:textId="77777777" w:rsidR="004E5789" w:rsidRDefault="00CD4473">
      <w:pPr>
        <w:tabs>
          <w:tab w:val="left" w:pos="1985"/>
          <w:tab w:val="left" w:pos="2127"/>
          <w:tab w:val="left" w:pos="1440"/>
        </w:tabs>
        <w:spacing w:before="120" w:after="120" w:line="240" w:lineRule="auto"/>
        <w:ind w:left="1980"/>
        <w:rPr>
          <w:rFonts w:ascii="Arial" w:eastAsia="Arial" w:hAnsi="Arial" w:cs="Arial"/>
          <w:sz w:val="24"/>
          <w:szCs w:val="24"/>
        </w:rPr>
      </w:pPr>
      <w:r>
        <w:rPr>
          <w:rFonts w:ascii="Arial" w:eastAsia="Arial" w:hAnsi="Arial" w:cs="Arial"/>
          <w:sz w:val="24"/>
          <w:szCs w:val="24"/>
        </w:rPr>
        <w:t xml:space="preserve"> and</w:t>
      </w:r>
    </w:p>
    <w:p w14:paraId="0000000C" w14:textId="77777777" w:rsidR="004E5789" w:rsidRDefault="00CD4473">
      <w:pPr>
        <w:numPr>
          <w:ilvl w:val="3"/>
          <w:numId w:val="1"/>
        </w:numP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cannot be increased except as in accordance with this Schedule.</w:t>
      </w:r>
    </w:p>
    <w:p w14:paraId="0000000D" w14:textId="77777777" w:rsidR="004E5789" w:rsidRDefault="00CD4473">
      <w:pPr>
        <w:numPr>
          <w:ilvl w:val="3"/>
          <w:numId w:val="1"/>
        </w:numP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Framework Prices are permitted to exceed Standard Service pricing for non-standard requirements and/or at the discretion of the Buyer, however the pricing variables detailed in 1.1.1 (</w:t>
      </w:r>
      <w:proofErr w:type="spellStart"/>
      <w:r>
        <w:rPr>
          <w:rFonts w:ascii="Arial" w:eastAsia="Arial" w:hAnsi="Arial" w:cs="Arial"/>
          <w:sz w:val="24"/>
          <w:szCs w:val="24"/>
        </w:rPr>
        <w:t>i</w:t>
      </w:r>
      <w:proofErr w:type="spellEnd"/>
      <w:r>
        <w:rPr>
          <w:rFonts w:ascii="Arial" w:eastAsia="Arial" w:hAnsi="Arial" w:cs="Arial"/>
          <w:sz w:val="24"/>
          <w:szCs w:val="24"/>
        </w:rPr>
        <w:t>) to (vi) will remain as maximum percentages</w:t>
      </w:r>
    </w:p>
    <w:p w14:paraId="0000000E"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F"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10"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0000011"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12"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13"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14"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15"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14:paraId="00000016"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00000017" w14:textId="77777777" w:rsidR="004E5789" w:rsidRDefault="00CD447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8" w14:textId="77777777" w:rsidR="004E5789" w:rsidRDefault="00CD447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9"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A"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color w:val="000000"/>
          <w:sz w:val="24"/>
          <w:szCs w:val="24"/>
        </w:rPr>
        <w:t>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B"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C"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D"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E"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F"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20"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b/>
          <w:color w:val="000000"/>
          <w:sz w:val="24"/>
          <w:szCs w:val="24"/>
        </w:rPr>
        <w:t xml:space="preserve"> </w:t>
      </w:r>
      <w:r>
        <w:rPr>
          <w:rFonts w:ascii="Arial" w:eastAsia="Arial" w:hAnsi="Arial" w:cs="Arial"/>
          <w:color w:val="000000"/>
          <w:sz w:val="24"/>
          <w:szCs w:val="24"/>
        </w:rPr>
        <w:t>details of the movement in the different identified cost components of the relevant Framework Price;</w:t>
      </w:r>
    </w:p>
    <w:p w14:paraId="00000021"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22"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23"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Date.</w:t>
      </w:r>
    </w:p>
    <w:p w14:paraId="00000024"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25"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CCS approves an increase then it will be implemented from the first (1st) Working Day following the relevant Review Date or such later </w:t>
      </w:r>
      <w:r>
        <w:rPr>
          <w:rFonts w:ascii="Arial" w:eastAsia="Arial" w:hAnsi="Arial" w:cs="Arial"/>
          <w:color w:val="000000"/>
          <w:sz w:val="24"/>
          <w:szCs w:val="24"/>
        </w:rPr>
        <w:lastRenderedPageBreak/>
        <w:t>date as CCS may determine at its sole discretion and Annex 1 shall be updated accordingly.</w:t>
      </w:r>
    </w:p>
    <w:p w14:paraId="00000026"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7"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8"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9"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A"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B"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Framework Prices; </w:t>
      </w:r>
    </w:p>
    <w:p w14:paraId="0000002C"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indexation, where Annex 1 states that a particular Framework Price or any component is “subject to Indexation” in which event Paragraph 6 below shall apply.</w:t>
      </w:r>
    </w:p>
    <w:p w14:paraId="0000002D"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changes to the Mandatory Wage in which event paragraph 7 shall apply.</w:t>
      </w:r>
    </w:p>
    <w:p w14:paraId="0000002E" w14:textId="77777777" w:rsidR="004E5789" w:rsidRDefault="004E5789">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p>
    <w:p w14:paraId="0000002F"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When the Framework Prices are linked to inflation </w:t>
      </w:r>
    </w:p>
    <w:p w14:paraId="00000030"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Framework Charges (excluding Corporate Overhead, Profit and Billable Works and Projects percentages)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00000031"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color w:val="000000"/>
          <w:sz w:val="24"/>
          <w:szCs w:val="24"/>
        </w:rPr>
        <w:t xml:space="preserve">2 </w:t>
      </w:r>
      <w:r>
        <w:rPr>
          <w:rFonts w:ascii="Arial" w:eastAsia="Arial" w:hAnsi="Arial" w:cs="Arial"/>
          <w:color w:val="000000"/>
          <w:sz w:val="24"/>
          <w:szCs w:val="24"/>
        </w:rPr>
        <w:t xml:space="preserve">years following the Framework Contract Commencement Date.  </w:t>
      </w:r>
    </w:p>
    <w:p w14:paraId="00000032"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w:t>
      </w:r>
      <w:proofErr w:type="gramStart"/>
      <w:r>
        <w:rPr>
          <w:rFonts w:ascii="Arial" w:eastAsia="Arial" w:hAnsi="Arial" w:cs="Arial"/>
          <w:color w:val="000000"/>
          <w:sz w:val="24"/>
          <w:szCs w:val="24"/>
        </w:rPr>
        <w:t>Framework</w:t>
      </w:r>
      <w:proofErr w:type="gramEnd"/>
      <w:r>
        <w:rPr>
          <w:rFonts w:ascii="Arial" w:eastAsia="Arial" w:hAnsi="Arial" w:cs="Arial"/>
          <w:color w:val="000000"/>
          <w:sz w:val="24"/>
          <w:szCs w:val="24"/>
        </w:rPr>
        <w:t xml:space="preserve"> Price is subject to Indexation then it will be indexed on the date which is </w:t>
      </w:r>
      <w:r>
        <w:rPr>
          <w:rFonts w:ascii="Arial" w:eastAsia="Arial" w:hAnsi="Arial" w:cs="Arial"/>
          <w:b/>
          <w:color w:val="000000"/>
          <w:sz w:val="24"/>
          <w:szCs w:val="24"/>
        </w:rPr>
        <w:t>2</w:t>
      </w:r>
      <w:r>
        <w:rPr>
          <w:rFonts w:ascii="Arial" w:eastAsia="Arial" w:hAnsi="Arial" w:cs="Arial"/>
          <w:color w:val="000000"/>
          <w:sz w:val="24"/>
          <w:szCs w:val="24"/>
        </w:rPr>
        <w:t xml:space="preserve"> years after the Framework Commencement Date to reflect the percentage change in the CPI since the Framework Commencement Date.  They shall be indexed on each following yearly anniversary to reflect the percentage change in the CPI since the previous change.</w:t>
      </w:r>
    </w:p>
    <w:p w14:paraId="00000033" w14:textId="642B5ECE"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indexation </w:t>
      </w:r>
      <w:r w:rsidR="00E14EE2" w:rsidRPr="00CC76B3">
        <w:rPr>
          <w:rFonts w:ascii="Arial" w:eastAsia="Arial" w:hAnsi="Arial" w:cs="Arial"/>
          <w:strike/>
          <w:color w:val="FF0000"/>
          <w:sz w:val="24"/>
          <w:szCs w:val="24"/>
        </w:rPr>
        <w:t>request</w:t>
      </w:r>
      <w:r w:rsidR="00E14EE2">
        <w:rPr>
          <w:rFonts w:ascii="Arial" w:eastAsia="Arial" w:hAnsi="Arial" w:cs="Arial"/>
          <w:color w:val="000000"/>
          <w:sz w:val="24"/>
          <w:szCs w:val="24"/>
        </w:rPr>
        <w:t xml:space="preserve"> </w:t>
      </w:r>
      <w:r>
        <w:rPr>
          <w:rFonts w:ascii="Arial" w:eastAsia="Arial" w:hAnsi="Arial" w:cs="Arial"/>
          <w:color w:val="000000"/>
          <w:sz w:val="24"/>
          <w:szCs w:val="24"/>
        </w:rPr>
        <w:t xml:space="preserve">shall be determined by applying the following formula: </w:t>
      </w:r>
    </w:p>
    <w:p w14:paraId="00000034" w14:textId="77777777" w:rsidR="004E5789" w:rsidRDefault="00CD4473">
      <w:pP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 xml:space="preserve">           NC = EC * Z where: </w:t>
      </w:r>
    </w:p>
    <w:p w14:paraId="00000035" w14:textId="77777777" w:rsidR="004E5789" w:rsidRDefault="00CD4473">
      <w:pP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bookmarkStart w:id="5" w:name="_GoBack"/>
      <w:bookmarkEnd w:id="5"/>
      <w:r>
        <w:rPr>
          <w:rFonts w:ascii="Arial" w:eastAsia="Arial" w:hAnsi="Arial" w:cs="Arial"/>
          <w:sz w:val="24"/>
          <w:szCs w:val="24"/>
        </w:rPr>
        <w:t>NC</w:t>
      </w:r>
      <w:r>
        <w:rPr>
          <w:rFonts w:ascii="Arial" w:eastAsia="Arial" w:hAnsi="Arial" w:cs="Arial"/>
          <w:sz w:val="24"/>
          <w:szCs w:val="24"/>
        </w:rPr>
        <w:tab/>
        <w:t xml:space="preserve"> is the New Charge; </w:t>
      </w:r>
    </w:p>
    <w:p w14:paraId="00000036" w14:textId="77777777" w:rsidR="004E5789" w:rsidRDefault="00CD4473">
      <w:pP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EC</w:t>
      </w:r>
      <w:r>
        <w:rPr>
          <w:rFonts w:ascii="Arial" w:eastAsia="Arial" w:hAnsi="Arial" w:cs="Arial"/>
          <w:sz w:val="24"/>
          <w:szCs w:val="24"/>
        </w:rPr>
        <w:tab/>
        <w:t xml:space="preserve"> is the Existing Charge; and </w:t>
      </w:r>
    </w:p>
    <w:p w14:paraId="00000037" w14:textId="77777777" w:rsidR="004E5789" w:rsidRDefault="00CD4473">
      <w:pP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Z</w:t>
      </w:r>
      <w:r>
        <w:rPr>
          <w:rFonts w:ascii="Arial" w:eastAsia="Arial" w:hAnsi="Arial" w:cs="Arial"/>
          <w:sz w:val="24"/>
          <w:szCs w:val="24"/>
        </w:rPr>
        <w:tab/>
        <w:t xml:space="preserve"> is 1 + (“</w:t>
      </w:r>
      <w:r>
        <w:rPr>
          <w:rFonts w:ascii="Arial" w:eastAsia="Arial" w:hAnsi="Arial" w:cs="Arial"/>
          <w:b/>
          <w:sz w:val="24"/>
          <w:szCs w:val="24"/>
        </w:rPr>
        <w:t>Average Annual % Change in CPI”</w:t>
      </w:r>
      <w:r>
        <w:rPr>
          <w:rFonts w:ascii="Arial" w:eastAsia="Arial" w:hAnsi="Arial" w:cs="Arial"/>
          <w:sz w:val="24"/>
          <w:szCs w:val="24"/>
        </w:rPr>
        <w:t>) / 100</w:t>
      </w:r>
    </w:p>
    <w:p w14:paraId="00000038" w14:textId="77777777" w:rsidR="004E5789" w:rsidRDefault="004E5789" w:rsidP="008D5CBF">
      <w:pPr>
        <w:pBdr>
          <w:top w:val="nil"/>
          <w:left w:val="nil"/>
          <w:bottom w:val="nil"/>
          <w:right w:val="nil"/>
          <w:between w:val="nil"/>
        </w:pBdr>
        <w:tabs>
          <w:tab w:val="left" w:pos="709"/>
        </w:tabs>
        <w:spacing w:before="120" w:after="120" w:line="240" w:lineRule="auto"/>
        <w:ind w:left="1134"/>
        <w:rPr>
          <w:rFonts w:ascii="Arial" w:eastAsia="Arial" w:hAnsi="Arial" w:cs="Arial"/>
          <w:color w:val="000000"/>
          <w:sz w:val="24"/>
          <w:szCs w:val="24"/>
        </w:rPr>
      </w:pPr>
    </w:p>
    <w:p w14:paraId="00000039"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Where the CPI Index:</w:t>
      </w:r>
    </w:p>
    <w:p w14:paraId="0000003A"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CCS and the Supplier agree otherwise; </w:t>
      </w:r>
    </w:p>
    <w:p w14:paraId="0000003B"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is no longer published, CCS and the Supplier shall agree a fair and reasonable replacement that will have substantially the same effect.</w:t>
      </w:r>
    </w:p>
    <w:p w14:paraId="0000003C" w14:textId="77777777" w:rsidR="004E5789" w:rsidRDefault="00CD4473">
      <w:pPr>
        <w:numPr>
          <w:ilvl w:val="0"/>
          <w:numId w:val="1"/>
        </w:numPr>
        <w:pBdr>
          <w:top w:val="nil"/>
          <w:left w:val="nil"/>
          <w:bottom w:val="nil"/>
          <w:right w:val="nil"/>
          <w:between w:val="nil"/>
        </w:pBdr>
        <w:tabs>
          <w:tab w:val="left" w:pos="0"/>
        </w:tabs>
        <w:spacing w:before="240" w:after="240" w:line="240" w:lineRule="auto"/>
        <w:jc w:val="both"/>
        <w:rPr>
          <w:rFonts w:ascii="Arial Bold" w:eastAsia="Arial Bold" w:hAnsi="Arial Bold" w:cs="Arial Bold"/>
          <w:b/>
          <w:smallCaps/>
          <w:color w:val="000000"/>
        </w:rPr>
      </w:pPr>
      <w:r>
        <w:rPr>
          <w:rFonts w:ascii="Arial Bold" w:eastAsia="Arial Bold" w:hAnsi="Arial Bold" w:cs="Arial Bold"/>
          <w:b/>
          <w:color w:val="000000"/>
        </w:rPr>
        <w:t>Changes to Mandatory Wage</w:t>
      </w:r>
    </w:p>
    <w:p w14:paraId="0000003D"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Notwithstanding Core Terms Clause 24.5 (Changing the Contract), where the Supplier can provide evidence that a percentage increase to the Mandatory Wage in a given period has exceeded any percentage increase in CPI under Paragraph for the same period in, the Supplier may request an increase in the Framework Prices by using the process under Paragraph 4.</w:t>
      </w:r>
    </w:p>
    <w:p w14:paraId="0000003E"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For the avoidance of doubt CCS is not required to accept the request to adjust Framework Prices and must not accept any request that:</w:t>
      </w:r>
    </w:p>
    <w:p w14:paraId="0000003F"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exceeds the difference between the CPI increase and the current Mandatory Wage rate increase for each member of the Supplier Personnel affected by the Mandatory Wage increase;</w:t>
      </w:r>
    </w:p>
    <w:p w14:paraId="00000040"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relate to Services that are not affected by the Mandatory Wage increase; and </w:t>
      </w:r>
    </w:p>
    <w:p w14:paraId="00000041"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that relates to Supplier Personnel on an hourly rate already in excess of the Mandatory Wage (whether or not to maintain differentials between the affected Supplier Personnel and higher paid Supplier Personnel)</w:t>
      </w:r>
    </w:p>
    <w:p w14:paraId="00000042" w14:textId="77777777" w:rsidR="004E5789" w:rsidRDefault="004E5789">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43" w14:textId="77777777" w:rsidR="004E5789" w:rsidRDefault="00CD4473">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rPr>
      </w:pPr>
      <w:bookmarkStart w:id="6" w:name="_heading=h.tyjcwt" w:colFirst="0" w:colLast="0"/>
      <w:bookmarkEnd w:id="6"/>
      <w:r>
        <w:rPr>
          <w:rFonts w:ascii="Arial" w:eastAsia="Arial" w:hAnsi="Arial" w:cs="Arial"/>
          <w:smallCaps/>
          <w:color w:val="000000"/>
          <w:sz w:val="24"/>
          <w:szCs w:val="24"/>
        </w:rPr>
        <w:t xml:space="preserve"> </w:t>
      </w:r>
    </w:p>
    <w:p w14:paraId="00000044" w14:textId="77777777" w:rsidR="004E5789" w:rsidRDefault="00CD4473">
      <w:pPr>
        <w:rPr>
          <w:rFonts w:ascii="Arial" w:eastAsia="Arial" w:hAnsi="Arial" w:cs="Arial"/>
          <w:b/>
          <w:sz w:val="36"/>
          <w:szCs w:val="36"/>
        </w:rPr>
      </w:pPr>
      <w:bookmarkStart w:id="7" w:name="_heading=h.3dy6vkm" w:colFirst="0" w:colLast="0"/>
      <w:bookmarkEnd w:id="7"/>
      <w:r>
        <w:br w:type="page"/>
      </w:r>
      <w:r>
        <w:rPr>
          <w:rFonts w:ascii="Arial" w:eastAsia="Arial" w:hAnsi="Arial" w:cs="Arial"/>
          <w:b/>
          <w:sz w:val="36"/>
          <w:szCs w:val="36"/>
        </w:rPr>
        <w:lastRenderedPageBreak/>
        <w:t>Annex 1: Rates and Prices</w:t>
      </w:r>
    </w:p>
    <w:p w14:paraId="00000045" w14:textId="77777777" w:rsidR="004E5789" w:rsidRDefault="00CD4473">
      <w:pPr>
        <w:spacing w:before="240" w:after="240"/>
        <w:rPr>
          <w:rFonts w:ascii="Arial" w:eastAsia="Arial" w:hAnsi="Arial" w:cs="Arial"/>
          <w:b/>
          <w:sz w:val="24"/>
          <w:szCs w:val="24"/>
        </w:rPr>
      </w:pPr>
      <w:bookmarkStart w:id="8" w:name="_heading=h.1t3h5sf" w:colFirst="0" w:colLast="0"/>
      <w:bookmarkEnd w:id="8"/>
      <w:r>
        <w:rPr>
          <w:rFonts w:ascii="Arial" w:eastAsia="Arial" w:hAnsi="Arial" w:cs="Arial"/>
          <w:b/>
          <w:sz w:val="24"/>
          <w:szCs w:val="24"/>
        </w:rPr>
        <w:t>[Guidance Note: Place a copy of the Supplier’s response to relevant award</w:t>
      </w:r>
    </w:p>
    <w:p w14:paraId="00000046" w14:textId="77777777" w:rsidR="004E5789" w:rsidRDefault="00CD4473">
      <w:pPr>
        <w:spacing w:before="240" w:after="240"/>
        <w:rPr>
          <w:rFonts w:ascii="Arial" w:eastAsia="Arial" w:hAnsi="Arial" w:cs="Arial"/>
          <w:b/>
          <w:sz w:val="24"/>
          <w:szCs w:val="24"/>
        </w:rPr>
      </w:pPr>
      <w:bookmarkStart w:id="9" w:name="_heading=h.fc9aac53do7k" w:colFirst="0" w:colLast="0"/>
      <w:bookmarkEnd w:id="9"/>
      <w:r>
        <w:rPr>
          <w:rFonts w:ascii="Arial" w:eastAsia="Arial" w:hAnsi="Arial" w:cs="Arial"/>
          <w:b/>
          <w:sz w:val="24"/>
          <w:szCs w:val="24"/>
        </w:rPr>
        <w:t>questionnaire pricing here once awarded.]</w:t>
      </w:r>
    </w:p>
    <w:p w14:paraId="00000047" w14:textId="77777777" w:rsidR="004E5789" w:rsidRDefault="004E5789">
      <w:pPr>
        <w:keepNext/>
        <w:spacing w:before="240" w:after="240" w:line="240" w:lineRule="auto"/>
        <w:rPr>
          <w:rFonts w:ascii="Arial" w:eastAsia="Arial" w:hAnsi="Arial" w:cs="Arial"/>
          <w:b/>
          <w:sz w:val="24"/>
          <w:szCs w:val="24"/>
        </w:rPr>
      </w:pPr>
    </w:p>
    <w:sectPr w:rsidR="004E5789">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85E22" w14:textId="77777777" w:rsidR="003E7F40" w:rsidRDefault="003E7F40">
      <w:pPr>
        <w:spacing w:after="0" w:line="240" w:lineRule="auto"/>
      </w:pPr>
      <w:r>
        <w:separator/>
      </w:r>
    </w:p>
  </w:endnote>
  <w:endnote w:type="continuationSeparator" w:id="0">
    <w:p w14:paraId="3EC45CD1" w14:textId="77777777" w:rsidR="003E7F40" w:rsidRDefault="003E7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4E5789" w:rsidRDefault="00CD447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14:paraId="00000050" w14:textId="63043E74"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8250FA">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17F4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51" w14:textId="77777777" w:rsidR="004E5789" w:rsidRDefault="00CD447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C" w14:textId="77777777" w:rsidR="004E5789" w:rsidRDefault="00CD4473">
    <w:pPr>
      <w:tabs>
        <w:tab w:val="center" w:pos="4513"/>
        <w:tab w:val="right" w:pos="9026"/>
      </w:tabs>
      <w:spacing w:after="0"/>
    </w:pPr>
    <w:r>
      <w:t>Framework Ref: RM</w:t>
    </w:r>
    <w:r>
      <w:tab/>
      <w:t xml:space="preserve">                                           </w:t>
    </w:r>
  </w:p>
  <w:p w14:paraId="0000004D"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E" w14:textId="77777777" w:rsidR="004E5789" w:rsidRDefault="00CD447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601CB" w14:textId="77777777" w:rsidR="003E7F40" w:rsidRDefault="003E7F40">
      <w:pPr>
        <w:spacing w:after="0" w:line="240" w:lineRule="auto"/>
      </w:pPr>
      <w:r>
        <w:separator/>
      </w:r>
    </w:p>
  </w:footnote>
  <w:footnote w:type="continuationSeparator" w:id="0">
    <w:p w14:paraId="40414B69" w14:textId="77777777" w:rsidR="003E7F40" w:rsidRDefault="003E7F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B"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9"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F15A4"/>
    <w:multiLevelType w:val="multilevel"/>
    <w:tmpl w:val="D7CEBB4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8740544"/>
    <w:multiLevelType w:val="multilevel"/>
    <w:tmpl w:val="80FCC6A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1069"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789"/>
    <w:rsid w:val="00117F47"/>
    <w:rsid w:val="003E7F40"/>
    <w:rsid w:val="004A3196"/>
    <w:rsid w:val="004E5789"/>
    <w:rsid w:val="008250FA"/>
    <w:rsid w:val="008D5CBF"/>
    <w:rsid w:val="00A31DB8"/>
    <w:rsid w:val="00CC76B3"/>
    <w:rsid w:val="00CD4473"/>
    <w:rsid w:val="00E14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D58F9"/>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644"/>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VASxq3mp2w1TgWwPiKlrA8sakQ==">AMUW2mUoYk34XroENls3yQLNBYsDY5D6vMRqS061gwog3RU48sIbZlVosFDzTACUZ2GPnzWirSjGiw3AyRqUzkPbCQgq0Q1jZCNrzwLVCBcrM+nRj0qkPvYdCLNxPs86iURdz0xwczLirYGDm6p19+epNtAAt/jtyOC0bDsevlZdH+D+JX0TJZgBTU6k50KuZyyyTCieuYh+Akxc/ZEt1ekbPrzwy7TriA5vZqLgTOurlcU93j5hxW23AeoErRoa/vrNl2qEpEZI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Alison Jones</cp:lastModifiedBy>
  <cp:revision>2</cp:revision>
  <dcterms:created xsi:type="dcterms:W3CDTF">2022-06-13T09:57:00Z</dcterms:created>
  <dcterms:modified xsi:type="dcterms:W3CDTF">2022-06-13T09:57:00Z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